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9EF39" w14:textId="77777777" w:rsidR="00C87E65" w:rsidRDefault="00C87E65" w:rsidP="009D260F">
      <w:pPr>
        <w:spacing w:after="0"/>
        <w:rPr>
          <w:sz w:val="20"/>
          <w:szCs w:val="20"/>
        </w:rPr>
      </w:pPr>
    </w:p>
    <w:p w14:paraId="129A04CD" w14:textId="77777777" w:rsidR="00C87E65" w:rsidRPr="007006BD" w:rsidRDefault="00C87E65" w:rsidP="009D260F">
      <w:pPr>
        <w:spacing w:after="0"/>
        <w:rPr>
          <w:sz w:val="14"/>
          <w:szCs w:val="14"/>
        </w:rPr>
      </w:pPr>
    </w:p>
    <w:p w14:paraId="1649B609" w14:textId="3A3B5E36" w:rsidR="00D36392" w:rsidRPr="00C87E65" w:rsidRDefault="00F808BB" w:rsidP="009D260F">
      <w:pPr>
        <w:spacing w:after="0"/>
        <w:rPr>
          <w:sz w:val="20"/>
          <w:szCs w:val="20"/>
        </w:rPr>
      </w:pPr>
      <w:r w:rsidRPr="00C87E65">
        <w:rPr>
          <w:sz w:val="20"/>
          <w:szCs w:val="20"/>
        </w:rPr>
        <w:t>Date</w:t>
      </w:r>
    </w:p>
    <w:p w14:paraId="24D9310B" w14:textId="21DDFF8B" w:rsidR="00D36392" w:rsidRPr="00C87E65" w:rsidRDefault="00D36392" w:rsidP="009D260F">
      <w:pPr>
        <w:spacing w:after="0"/>
        <w:rPr>
          <w:sz w:val="20"/>
          <w:szCs w:val="20"/>
        </w:rPr>
      </w:pPr>
    </w:p>
    <w:p w14:paraId="5CA1438C" w14:textId="0F4D3756" w:rsidR="00F808BB" w:rsidRPr="00C87E65" w:rsidRDefault="00F808BB" w:rsidP="009D260F">
      <w:pPr>
        <w:spacing w:after="0"/>
        <w:rPr>
          <w:sz w:val="20"/>
          <w:szCs w:val="20"/>
        </w:rPr>
      </w:pPr>
      <w:r w:rsidRPr="00C87E65">
        <w:rPr>
          <w:sz w:val="20"/>
          <w:szCs w:val="20"/>
        </w:rPr>
        <w:t>Client name</w:t>
      </w:r>
    </w:p>
    <w:p w14:paraId="20509431" w14:textId="7372B182" w:rsidR="00F808BB" w:rsidRPr="00C87E65" w:rsidRDefault="00F808BB" w:rsidP="009D260F">
      <w:pPr>
        <w:spacing w:after="0"/>
        <w:rPr>
          <w:sz w:val="20"/>
          <w:szCs w:val="20"/>
        </w:rPr>
      </w:pPr>
      <w:r w:rsidRPr="00C87E65">
        <w:rPr>
          <w:sz w:val="20"/>
          <w:szCs w:val="20"/>
        </w:rPr>
        <w:t>Client address</w:t>
      </w:r>
    </w:p>
    <w:p w14:paraId="1210BEC4" w14:textId="77777777" w:rsidR="00F808BB" w:rsidRPr="00C87E65" w:rsidRDefault="00F808BB" w:rsidP="009D260F">
      <w:pPr>
        <w:spacing w:after="0"/>
        <w:rPr>
          <w:sz w:val="20"/>
          <w:szCs w:val="20"/>
        </w:rPr>
      </w:pPr>
    </w:p>
    <w:p w14:paraId="59058CC7" w14:textId="1A9DAB94" w:rsidR="00F808BB" w:rsidRPr="00C87E65" w:rsidRDefault="00F808BB" w:rsidP="00F808BB">
      <w:pPr>
        <w:pBdr>
          <w:bottom w:val="single" w:sz="4" w:space="1" w:color="auto"/>
        </w:pBdr>
        <w:rPr>
          <w:b/>
          <w:bCs/>
          <w:sz w:val="20"/>
          <w:szCs w:val="20"/>
          <w:lang w:val="en"/>
        </w:rPr>
      </w:pPr>
      <w:r w:rsidRPr="00C87E65">
        <w:rPr>
          <w:b/>
          <w:bCs/>
          <w:sz w:val="20"/>
          <w:szCs w:val="20"/>
        </w:rPr>
        <w:t>Subject:</w:t>
      </w:r>
      <w:r w:rsidRPr="00C87E65">
        <w:rPr>
          <w:b/>
          <w:bCs/>
          <w:sz w:val="20"/>
          <w:szCs w:val="20"/>
        </w:rPr>
        <w:tab/>
        <w:t xml:space="preserve">Investia </w:t>
      </w:r>
      <w:r w:rsidRPr="00C87E65">
        <w:rPr>
          <w:b/>
          <w:bCs/>
          <w:sz w:val="20"/>
          <w:szCs w:val="20"/>
          <w:lang w:val="en"/>
        </w:rPr>
        <w:t>Annual Administrative Fees| Upcoming Changes in 2022</w:t>
      </w:r>
    </w:p>
    <w:p w14:paraId="2DCC0EA1" w14:textId="77777777" w:rsidR="00F808BB" w:rsidRPr="00433D1C" w:rsidRDefault="00F808BB" w:rsidP="00F808BB">
      <w:pPr>
        <w:pBdr>
          <w:bottom w:val="single" w:sz="4" w:space="1" w:color="auto"/>
        </w:pBdr>
        <w:rPr>
          <w:sz w:val="16"/>
          <w:szCs w:val="16"/>
          <w:lang w:val="en"/>
        </w:rPr>
      </w:pPr>
    </w:p>
    <w:p w14:paraId="41A048B6" w14:textId="3D1251B3" w:rsidR="00F808BB" w:rsidRPr="00C87E65" w:rsidRDefault="00F808BB" w:rsidP="009D260F">
      <w:pPr>
        <w:spacing w:after="0"/>
        <w:rPr>
          <w:sz w:val="20"/>
          <w:szCs w:val="20"/>
          <w:lang w:val="en-CA"/>
        </w:rPr>
      </w:pPr>
    </w:p>
    <w:p w14:paraId="1C3CB299" w14:textId="77777777" w:rsidR="00F808BB" w:rsidRPr="00C87E65" w:rsidRDefault="00F808BB" w:rsidP="00F808BB">
      <w:pPr>
        <w:contextualSpacing/>
        <w:jc w:val="both"/>
        <w:rPr>
          <w:rStyle w:val="carseparateur"/>
          <w:sz w:val="20"/>
          <w:szCs w:val="20"/>
          <w:lang w:val="en"/>
        </w:rPr>
      </w:pPr>
      <w:r w:rsidRPr="00C87E65">
        <w:rPr>
          <w:sz w:val="20"/>
          <w:szCs w:val="20"/>
          <w:lang w:val="en"/>
        </w:rPr>
        <w:t xml:space="preserve">To my valued clients, </w:t>
      </w:r>
      <w:r w:rsidRPr="00C87E65">
        <w:rPr>
          <w:rStyle w:val="carseparateur"/>
          <w:sz w:val="20"/>
          <w:szCs w:val="20"/>
          <w:lang w:val="en"/>
        </w:rPr>
        <w:t xml:space="preserve"> </w:t>
      </w:r>
    </w:p>
    <w:p w14:paraId="5F9C4C8E" w14:textId="77777777" w:rsidR="00F808BB" w:rsidRPr="00C87E65" w:rsidRDefault="00F808BB" w:rsidP="00F808BB">
      <w:pPr>
        <w:contextualSpacing/>
        <w:jc w:val="both"/>
        <w:rPr>
          <w:sz w:val="20"/>
          <w:szCs w:val="20"/>
          <w:lang w:val="en"/>
        </w:rPr>
      </w:pPr>
    </w:p>
    <w:p w14:paraId="0A31CD8A" w14:textId="77777777" w:rsidR="00F808BB" w:rsidRPr="00C87E65" w:rsidRDefault="00F808BB" w:rsidP="00F808BB">
      <w:pPr>
        <w:contextualSpacing/>
        <w:jc w:val="both"/>
        <w:rPr>
          <w:sz w:val="20"/>
          <w:szCs w:val="20"/>
          <w:lang w:val="en"/>
        </w:rPr>
      </w:pPr>
      <w:r w:rsidRPr="00C87E65">
        <w:rPr>
          <w:sz w:val="20"/>
          <w:szCs w:val="20"/>
          <w:lang w:val="en"/>
        </w:rPr>
        <w:t xml:space="preserve">To begin with, I would like to thank you for your trust and commend you for your continued commitment to building a healthy financial future. </w:t>
      </w:r>
    </w:p>
    <w:p w14:paraId="33A6D477" w14:textId="77777777" w:rsidR="00F808BB" w:rsidRPr="00C87E65" w:rsidRDefault="00F808BB" w:rsidP="00F808BB">
      <w:pPr>
        <w:contextualSpacing/>
        <w:jc w:val="both"/>
        <w:rPr>
          <w:sz w:val="20"/>
          <w:szCs w:val="20"/>
          <w:lang w:val="en"/>
        </w:rPr>
      </w:pPr>
    </w:p>
    <w:p w14:paraId="2231AEF3" w14:textId="6BED47A4" w:rsidR="00F808BB" w:rsidRPr="00C87E65" w:rsidRDefault="00F808BB" w:rsidP="00F808BB">
      <w:pPr>
        <w:contextualSpacing/>
        <w:jc w:val="both"/>
        <w:rPr>
          <w:sz w:val="20"/>
          <w:szCs w:val="20"/>
          <w:lang w:val="en"/>
        </w:rPr>
      </w:pPr>
      <w:r w:rsidRPr="00C87E65">
        <w:rPr>
          <w:sz w:val="20"/>
          <w:szCs w:val="20"/>
          <w:lang w:val="en"/>
        </w:rPr>
        <w:t>I’m writing to you today to draw your attention to upcoming changes that Investia Financial Services Inc., my mutual fund dealer, will be implementing this year. Beginning in 2022, Investia will be introducing a client administrative fee of $5</w:t>
      </w:r>
      <w:r w:rsidR="00A33E7E" w:rsidRPr="00C87E65">
        <w:rPr>
          <w:sz w:val="20"/>
          <w:szCs w:val="20"/>
          <w:lang w:val="en"/>
        </w:rPr>
        <w:t>0</w:t>
      </w:r>
      <w:r w:rsidRPr="00C87E65">
        <w:rPr>
          <w:sz w:val="20"/>
          <w:szCs w:val="20"/>
          <w:lang w:val="en"/>
        </w:rPr>
        <w:t xml:space="preserve">. This fee will be billed </w:t>
      </w:r>
      <w:r w:rsidR="00A33E7E" w:rsidRPr="00C87E65">
        <w:rPr>
          <w:sz w:val="20"/>
          <w:szCs w:val="20"/>
          <w:lang w:val="en"/>
        </w:rPr>
        <w:t>annually</w:t>
      </w:r>
      <w:r w:rsidRPr="00C87E65">
        <w:rPr>
          <w:sz w:val="20"/>
          <w:szCs w:val="20"/>
          <w:lang w:val="en"/>
        </w:rPr>
        <w:t xml:space="preserve"> in your June quarterly statement. In return, Investia will not introduc</w:t>
      </w:r>
      <w:r w:rsidR="00091C94" w:rsidRPr="00C87E65">
        <w:rPr>
          <w:sz w:val="20"/>
          <w:szCs w:val="20"/>
          <w:lang w:val="en"/>
        </w:rPr>
        <w:t>e</w:t>
      </w:r>
      <w:r w:rsidRPr="00C87E65">
        <w:rPr>
          <w:sz w:val="20"/>
          <w:szCs w:val="20"/>
          <w:lang w:val="en"/>
        </w:rPr>
        <w:t xml:space="preserve"> statement mailing fees and will remove any other existing dealer administration fees associated with the maintenance of your account, such as NSF processing fees, account transfer fees, estate processing fees, etc</w:t>
      </w:r>
      <w:r w:rsidRPr="00C87E65">
        <w:rPr>
          <w:i/>
          <w:iCs/>
          <w:sz w:val="20"/>
          <w:szCs w:val="20"/>
          <w:lang w:val="en"/>
        </w:rPr>
        <w:t>. It is important to note that this annual fee is a dealer initiative and is not related to the services I offer you</w:t>
      </w:r>
      <w:r w:rsidRPr="00C87E65">
        <w:rPr>
          <w:sz w:val="20"/>
          <w:szCs w:val="20"/>
          <w:lang w:val="en"/>
        </w:rPr>
        <w:t>.</w:t>
      </w:r>
    </w:p>
    <w:p w14:paraId="67117252" w14:textId="08E24D1A" w:rsidR="00F808BB" w:rsidRPr="00C87E65" w:rsidRDefault="00F808BB" w:rsidP="00F808BB">
      <w:pPr>
        <w:contextualSpacing/>
        <w:jc w:val="both"/>
        <w:rPr>
          <w:sz w:val="20"/>
          <w:szCs w:val="20"/>
          <w:lang w:val="en"/>
        </w:rPr>
      </w:pPr>
    </w:p>
    <w:p w14:paraId="6CB688A2" w14:textId="77777777" w:rsidR="00A33E7E" w:rsidRPr="00C87E65" w:rsidRDefault="00A33E7E" w:rsidP="00A33E7E">
      <w:pPr>
        <w:contextualSpacing/>
        <w:jc w:val="both"/>
        <w:rPr>
          <w:rFonts w:ascii="Calibri" w:hAnsi="Calibri" w:cs="Calibri"/>
          <w:sz w:val="20"/>
          <w:szCs w:val="20"/>
          <w:lang w:val="en-CA"/>
        </w:rPr>
      </w:pPr>
      <w:r w:rsidRPr="00C87E65">
        <w:rPr>
          <w:rFonts w:ascii="Calibri" w:hAnsi="Calibri" w:cs="Calibri"/>
          <w:b/>
          <w:color w:val="003DA5"/>
          <w:sz w:val="20"/>
          <w:szCs w:val="20"/>
          <w:lang w:val="en"/>
        </w:rPr>
        <w:t>Investia nominee account holders</w:t>
      </w:r>
    </w:p>
    <w:p w14:paraId="6CB48EEC" w14:textId="1B07576F" w:rsidR="00A33E7E" w:rsidRPr="00C87E65" w:rsidRDefault="00A33E7E" w:rsidP="00A33E7E">
      <w:pPr>
        <w:contextualSpacing/>
        <w:jc w:val="both"/>
        <w:rPr>
          <w:rFonts w:cstheme="minorHAnsi"/>
          <w:sz w:val="20"/>
          <w:szCs w:val="20"/>
          <w:lang w:val="en-CA"/>
        </w:rPr>
      </w:pPr>
      <w:r w:rsidRPr="00C87E65">
        <w:rPr>
          <w:rFonts w:cstheme="minorHAnsi"/>
          <w:sz w:val="20"/>
          <w:szCs w:val="20"/>
          <w:lang w:val="en"/>
        </w:rPr>
        <w:t xml:space="preserve">If we have taken advantage of the Investia nominee structure to hold your investments, it is important to note that the $50 client administrative </w:t>
      </w:r>
      <w:r w:rsidRPr="00C87E65">
        <w:rPr>
          <w:rFonts w:cstheme="minorHAnsi"/>
          <w:sz w:val="20"/>
          <w:szCs w:val="20"/>
          <w:lang w:val="en-CA"/>
        </w:rPr>
        <w:t xml:space="preserve">fee will not be charged in addition to the current nominee administrative fee. </w:t>
      </w:r>
      <w:r w:rsidRPr="00C87E65">
        <w:rPr>
          <w:rFonts w:cstheme="minorHAnsi"/>
          <w:sz w:val="20"/>
          <w:szCs w:val="20"/>
          <w:lang w:val="en"/>
        </w:rPr>
        <w:t xml:space="preserve">In 2024, this nominee fee, currently $100, will be </w:t>
      </w:r>
      <w:r w:rsidRPr="00C87E65">
        <w:rPr>
          <w:rFonts w:cstheme="minorHAnsi"/>
          <w:sz w:val="20"/>
          <w:szCs w:val="20"/>
          <w:lang w:val="en-CA"/>
        </w:rPr>
        <w:t>eliminated and replaced with the annual client administrative fee of $50.</w:t>
      </w:r>
    </w:p>
    <w:p w14:paraId="1D1B6A17" w14:textId="77777777" w:rsidR="00A33E7E" w:rsidRPr="00C87E65" w:rsidRDefault="00A33E7E" w:rsidP="00A33E7E">
      <w:pPr>
        <w:contextualSpacing/>
        <w:jc w:val="both"/>
        <w:rPr>
          <w:sz w:val="20"/>
          <w:szCs w:val="20"/>
          <w:lang w:val="en"/>
        </w:rPr>
      </w:pPr>
    </w:p>
    <w:p w14:paraId="235BB006" w14:textId="2DECCCD1" w:rsidR="00F808BB" w:rsidRPr="00C87E65" w:rsidRDefault="00F808BB" w:rsidP="00F808BB">
      <w:pPr>
        <w:contextualSpacing/>
        <w:jc w:val="both"/>
        <w:rPr>
          <w:sz w:val="20"/>
          <w:szCs w:val="20"/>
          <w:lang w:val="en"/>
        </w:rPr>
      </w:pPr>
      <w:r w:rsidRPr="00C87E65">
        <w:rPr>
          <w:sz w:val="20"/>
          <w:szCs w:val="20"/>
          <w:lang w:val="en"/>
        </w:rPr>
        <w:t xml:space="preserve">For a bit of background on Investia, in addition to administering your account, the dealer ensures that all advisors follow strict compliance rules and regulations. </w:t>
      </w:r>
      <w:r w:rsidR="00BC4546" w:rsidRPr="00C87E65">
        <w:rPr>
          <w:sz w:val="20"/>
          <w:szCs w:val="20"/>
          <w:lang w:val="en"/>
        </w:rPr>
        <w:t>It also provides us with</w:t>
      </w:r>
      <w:r w:rsidRPr="00C87E65">
        <w:rPr>
          <w:sz w:val="20"/>
          <w:szCs w:val="20"/>
          <w:lang w:val="en"/>
        </w:rPr>
        <w:t xml:space="preserve"> high-performance digital solutions such as interactive web portals, </w:t>
      </w:r>
      <w:r w:rsidR="006A1129">
        <w:rPr>
          <w:sz w:val="20"/>
          <w:szCs w:val="20"/>
          <w:lang w:val="en"/>
        </w:rPr>
        <w:t xml:space="preserve">a </w:t>
      </w:r>
      <w:r w:rsidRPr="00C87E65">
        <w:rPr>
          <w:sz w:val="20"/>
          <w:szCs w:val="20"/>
          <w:lang w:val="en"/>
        </w:rPr>
        <w:t>client app, secured document sharing and digital signature tools, all of which serve to enhance and facilitate the advisor/client relation</w:t>
      </w:r>
      <w:r w:rsidR="00A33E7E" w:rsidRPr="00C87E65">
        <w:rPr>
          <w:sz w:val="20"/>
          <w:szCs w:val="20"/>
          <w:lang w:val="en"/>
        </w:rPr>
        <w:t>ship</w:t>
      </w:r>
      <w:r w:rsidRPr="00C87E65">
        <w:rPr>
          <w:sz w:val="20"/>
          <w:szCs w:val="20"/>
          <w:lang w:val="en"/>
        </w:rPr>
        <w:t>. I</w:t>
      </w:r>
      <w:r w:rsidR="00BC4546" w:rsidRPr="00C87E65">
        <w:rPr>
          <w:sz w:val="20"/>
          <w:szCs w:val="20"/>
          <w:lang w:val="en"/>
        </w:rPr>
        <w:t xml:space="preserve">nvestia is a dealer who supports independent advisors like </w:t>
      </w:r>
      <w:r w:rsidR="00A33E7E" w:rsidRPr="00C87E65">
        <w:rPr>
          <w:sz w:val="20"/>
          <w:szCs w:val="20"/>
          <w:lang w:val="en"/>
        </w:rPr>
        <w:t>me</w:t>
      </w:r>
      <w:r w:rsidR="00BC4546" w:rsidRPr="00C87E65">
        <w:rPr>
          <w:sz w:val="20"/>
          <w:szCs w:val="20"/>
          <w:lang w:val="en"/>
        </w:rPr>
        <w:t xml:space="preserve"> and as such offers a </w:t>
      </w:r>
      <w:r w:rsidR="00091C94" w:rsidRPr="00C87E65">
        <w:rPr>
          <w:sz w:val="20"/>
          <w:szCs w:val="20"/>
          <w:lang w:val="en"/>
        </w:rPr>
        <w:t xml:space="preserve">wide and </w:t>
      </w:r>
      <w:r w:rsidR="00BC4546" w:rsidRPr="00C87E65">
        <w:rPr>
          <w:sz w:val="20"/>
          <w:szCs w:val="20"/>
          <w:lang w:val="en"/>
        </w:rPr>
        <w:t>diversified product shelf</w:t>
      </w:r>
      <w:r w:rsidR="00F33482" w:rsidRPr="00C87E65">
        <w:rPr>
          <w:sz w:val="20"/>
          <w:szCs w:val="20"/>
          <w:lang w:val="en"/>
        </w:rPr>
        <w:t xml:space="preserve"> with access to </w:t>
      </w:r>
      <w:r w:rsidR="00091C94" w:rsidRPr="00C87E65">
        <w:rPr>
          <w:sz w:val="20"/>
          <w:szCs w:val="20"/>
          <w:lang w:val="en"/>
        </w:rPr>
        <w:t>mutual funds, ETFs and GICs</w:t>
      </w:r>
      <w:r w:rsidR="00F33482" w:rsidRPr="00C87E65">
        <w:rPr>
          <w:sz w:val="20"/>
          <w:szCs w:val="20"/>
          <w:lang w:val="en"/>
        </w:rPr>
        <w:t xml:space="preserve">. This </w:t>
      </w:r>
      <w:r w:rsidR="00BC4546" w:rsidRPr="00C87E65">
        <w:rPr>
          <w:sz w:val="20"/>
          <w:szCs w:val="20"/>
          <w:lang w:val="en"/>
        </w:rPr>
        <w:t xml:space="preserve">allows me to choose </w:t>
      </w:r>
      <w:r w:rsidR="00F33482" w:rsidRPr="00C87E65">
        <w:rPr>
          <w:sz w:val="20"/>
          <w:szCs w:val="20"/>
          <w:lang w:val="en"/>
        </w:rPr>
        <w:t xml:space="preserve">from a variety of </w:t>
      </w:r>
      <w:r w:rsidR="00BC4546" w:rsidRPr="00C87E65">
        <w:rPr>
          <w:sz w:val="20"/>
          <w:szCs w:val="20"/>
          <w:lang w:val="en"/>
        </w:rPr>
        <w:t xml:space="preserve">products </w:t>
      </w:r>
      <w:r w:rsidR="00F33482" w:rsidRPr="00C87E65">
        <w:rPr>
          <w:sz w:val="20"/>
          <w:szCs w:val="20"/>
          <w:lang w:val="en"/>
        </w:rPr>
        <w:t xml:space="preserve">when building </w:t>
      </w:r>
      <w:r w:rsidR="00BC4546" w:rsidRPr="00C87E65">
        <w:rPr>
          <w:sz w:val="20"/>
          <w:szCs w:val="20"/>
          <w:lang w:val="en"/>
        </w:rPr>
        <w:t xml:space="preserve">your portfolios. </w:t>
      </w:r>
      <w:r w:rsidR="006E7F8E" w:rsidRPr="00C87E65">
        <w:rPr>
          <w:sz w:val="20"/>
          <w:szCs w:val="20"/>
          <w:lang w:val="en"/>
        </w:rPr>
        <w:t>Investia is a wholly</w:t>
      </w:r>
      <w:r w:rsidR="00DD3CD9">
        <w:rPr>
          <w:sz w:val="20"/>
          <w:szCs w:val="20"/>
          <w:lang w:val="en"/>
        </w:rPr>
        <w:t>-</w:t>
      </w:r>
      <w:r w:rsidR="006E7F8E" w:rsidRPr="00C87E65">
        <w:rPr>
          <w:sz w:val="20"/>
          <w:szCs w:val="20"/>
          <w:lang w:val="en"/>
        </w:rPr>
        <w:t>owned subsidiary of iA Financial Group, one of the largest insurance and wealth management groups in Canada with over 125 years of offering dedicated financial services to Canadians.</w:t>
      </w:r>
    </w:p>
    <w:p w14:paraId="0F7C8FCE" w14:textId="77777777" w:rsidR="00F808BB" w:rsidRPr="00C87E65" w:rsidRDefault="00F808BB" w:rsidP="00F808BB">
      <w:pPr>
        <w:contextualSpacing/>
        <w:jc w:val="both"/>
        <w:rPr>
          <w:sz w:val="20"/>
          <w:szCs w:val="20"/>
          <w:lang w:val="en"/>
        </w:rPr>
      </w:pPr>
    </w:p>
    <w:p w14:paraId="38A57919" w14:textId="1C9C4DF0" w:rsidR="00F808BB" w:rsidRPr="00C87E65" w:rsidRDefault="00F808BB" w:rsidP="00F808BB">
      <w:pPr>
        <w:contextualSpacing/>
        <w:jc w:val="both"/>
        <w:rPr>
          <w:sz w:val="20"/>
          <w:szCs w:val="20"/>
          <w:lang w:val="en"/>
        </w:rPr>
      </w:pPr>
      <w:r w:rsidRPr="00C87E65">
        <w:rPr>
          <w:sz w:val="20"/>
          <w:szCs w:val="20"/>
          <w:lang w:val="en"/>
        </w:rPr>
        <w:t>Our industry is moving and changing at an extremely fast pace. Independence of advice, disclosure and transparency have never been more important. As an independent advisor, I remain fully committed to you and your financial well-being. Should you require additional information related to these changes, please do not hesitate to contact me.</w:t>
      </w:r>
    </w:p>
    <w:p w14:paraId="3F2394D1" w14:textId="77777777" w:rsidR="00F808BB" w:rsidRPr="00C87E65" w:rsidRDefault="00F808BB" w:rsidP="00F808BB">
      <w:pPr>
        <w:contextualSpacing/>
        <w:jc w:val="both"/>
        <w:rPr>
          <w:sz w:val="20"/>
          <w:szCs w:val="20"/>
          <w:lang w:val="en"/>
        </w:rPr>
      </w:pPr>
    </w:p>
    <w:p w14:paraId="5310DC82" w14:textId="77777777" w:rsidR="00F808BB" w:rsidRPr="00C87E65" w:rsidRDefault="00F808BB" w:rsidP="00F808BB">
      <w:pPr>
        <w:contextualSpacing/>
        <w:jc w:val="both"/>
        <w:rPr>
          <w:sz w:val="20"/>
          <w:szCs w:val="20"/>
          <w:lang w:val="en"/>
        </w:rPr>
      </w:pPr>
      <w:r w:rsidRPr="00C87E65">
        <w:rPr>
          <w:sz w:val="20"/>
          <w:szCs w:val="20"/>
          <w:lang w:val="en"/>
        </w:rPr>
        <w:t>Thank you again for your trust.</w:t>
      </w:r>
    </w:p>
    <w:p w14:paraId="48E8451D" w14:textId="77777777" w:rsidR="00F808BB" w:rsidRPr="00C87E65" w:rsidRDefault="00F808BB" w:rsidP="00F808BB">
      <w:pPr>
        <w:contextualSpacing/>
        <w:jc w:val="both"/>
        <w:rPr>
          <w:sz w:val="20"/>
          <w:szCs w:val="20"/>
          <w:lang w:val="en"/>
        </w:rPr>
      </w:pPr>
    </w:p>
    <w:p w14:paraId="11B033DE" w14:textId="77777777" w:rsidR="00F808BB" w:rsidRPr="00C87E65" w:rsidRDefault="00F808BB" w:rsidP="00F808BB">
      <w:pPr>
        <w:contextualSpacing/>
        <w:jc w:val="both"/>
        <w:rPr>
          <w:sz w:val="20"/>
          <w:szCs w:val="20"/>
          <w:lang w:val="en-CA"/>
        </w:rPr>
      </w:pPr>
      <w:r w:rsidRPr="00C87E65">
        <w:rPr>
          <w:sz w:val="20"/>
          <w:szCs w:val="20"/>
          <w:lang w:val="en-CA"/>
        </w:rPr>
        <w:t>Sincerely,</w:t>
      </w:r>
    </w:p>
    <w:p w14:paraId="2FC28652" w14:textId="77777777" w:rsidR="00F808BB" w:rsidRPr="00C87E65" w:rsidRDefault="00F808BB" w:rsidP="00F808BB">
      <w:pPr>
        <w:contextualSpacing/>
        <w:jc w:val="both"/>
        <w:rPr>
          <w:sz w:val="20"/>
          <w:szCs w:val="20"/>
          <w:lang w:val="en-CA"/>
        </w:rPr>
      </w:pPr>
    </w:p>
    <w:p w14:paraId="54A7B3E1" w14:textId="77777777" w:rsidR="00F808BB" w:rsidRPr="00C87E65" w:rsidRDefault="00F808BB" w:rsidP="00F808BB">
      <w:pPr>
        <w:contextualSpacing/>
        <w:jc w:val="both"/>
        <w:rPr>
          <w:sz w:val="20"/>
          <w:szCs w:val="20"/>
          <w:lang w:val="en-CA"/>
        </w:rPr>
      </w:pPr>
      <w:r w:rsidRPr="00C87E65">
        <w:rPr>
          <w:sz w:val="20"/>
          <w:szCs w:val="20"/>
          <w:lang w:val="en-CA"/>
        </w:rPr>
        <w:t>John</w:t>
      </w:r>
    </w:p>
    <w:p w14:paraId="1CF2109E" w14:textId="7BC8AB24" w:rsidR="00F33482" w:rsidRPr="00C87E65" w:rsidRDefault="00F33482" w:rsidP="00F808BB">
      <w:pPr>
        <w:contextualSpacing/>
        <w:jc w:val="both"/>
        <w:rPr>
          <w:sz w:val="20"/>
          <w:szCs w:val="20"/>
          <w:lang w:val="en-CA"/>
        </w:rPr>
      </w:pPr>
      <w:r w:rsidRPr="00C87E65">
        <w:rPr>
          <w:sz w:val="20"/>
          <w:szCs w:val="20"/>
          <w:lang w:val="en-CA"/>
        </w:rPr>
        <w:t>XXX Wealth Management</w:t>
      </w:r>
    </w:p>
    <w:p w14:paraId="442CC00B" w14:textId="271C2D37" w:rsidR="009D260F" w:rsidRPr="00C87E65" w:rsidRDefault="00F808BB" w:rsidP="00F33482">
      <w:pPr>
        <w:contextualSpacing/>
        <w:jc w:val="both"/>
        <w:rPr>
          <w:sz w:val="20"/>
          <w:szCs w:val="20"/>
          <w:lang w:val="en"/>
        </w:rPr>
      </w:pPr>
      <w:r w:rsidRPr="00C87E65">
        <w:rPr>
          <w:sz w:val="20"/>
          <w:szCs w:val="20"/>
          <w:lang w:val="en-CA"/>
        </w:rPr>
        <w:t>Investia Financial Services Inc.</w:t>
      </w:r>
    </w:p>
    <w:sectPr w:rsidR="009D260F" w:rsidRPr="00C87E65" w:rsidSect="00C87E65">
      <w:headerReference w:type="default" r:id="rId6"/>
      <w:pgSz w:w="12240" w:h="15840"/>
      <w:pgMar w:top="1584"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90F4D" w14:textId="77777777" w:rsidR="00DE2D4E" w:rsidRDefault="00DE2D4E" w:rsidP="00D36392">
      <w:pPr>
        <w:spacing w:after="0" w:line="240" w:lineRule="auto"/>
      </w:pPr>
      <w:r>
        <w:separator/>
      </w:r>
    </w:p>
  </w:endnote>
  <w:endnote w:type="continuationSeparator" w:id="0">
    <w:p w14:paraId="50BAD0D9" w14:textId="77777777" w:rsidR="00DE2D4E" w:rsidRDefault="00DE2D4E" w:rsidP="00D36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60056" w14:textId="77777777" w:rsidR="00DE2D4E" w:rsidRDefault="00DE2D4E" w:rsidP="00D36392">
      <w:pPr>
        <w:spacing w:after="0" w:line="240" w:lineRule="auto"/>
      </w:pPr>
      <w:r>
        <w:separator/>
      </w:r>
    </w:p>
  </w:footnote>
  <w:footnote w:type="continuationSeparator" w:id="0">
    <w:p w14:paraId="5236F85B" w14:textId="77777777" w:rsidR="00DE2D4E" w:rsidRDefault="00DE2D4E" w:rsidP="00D36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A1516" w14:textId="022A378B" w:rsidR="00D36392" w:rsidRPr="000A34DD" w:rsidRDefault="007006BD" w:rsidP="000A34DD">
    <w:pPr>
      <w:pStyle w:val="En-tte"/>
    </w:pPr>
    <w:r w:rsidRPr="00A67955">
      <w:rPr>
        <w:noProof/>
      </w:rPr>
      <w:drawing>
        <wp:inline distT="0" distB="0" distL="0" distR="0" wp14:anchorId="5AC44E4D" wp14:editId="37FCCF8B">
          <wp:extent cx="1046018" cy="644373"/>
          <wp:effectExtent l="0" t="0" r="1905" b="3810"/>
          <wp:docPr id="2" name="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ia-FRA-V-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2039" cy="65424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60F"/>
    <w:rsid w:val="000169CE"/>
    <w:rsid w:val="000739AA"/>
    <w:rsid w:val="0007787A"/>
    <w:rsid w:val="00081C04"/>
    <w:rsid w:val="00091C94"/>
    <w:rsid w:val="000A34DD"/>
    <w:rsid w:val="000B1D52"/>
    <w:rsid w:val="000C3431"/>
    <w:rsid w:val="001A6962"/>
    <w:rsid w:val="001E11B3"/>
    <w:rsid w:val="0021659A"/>
    <w:rsid w:val="00264276"/>
    <w:rsid w:val="002C0D3B"/>
    <w:rsid w:val="00433D1C"/>
    <w:rsid w:val="00440631"/>
    <w:rsid w:val="00486B6E"/>
    <w:rsid w:val="004961AA"/>
    <w:rsid w:val="004E2965"/>
    <w:rsid w:val="00500452"/>
    <w:rsid w:val="005A4721"/>
    <w:rsid w:val="005B6320"/>
    <w:rsid w:val="006A1129"/>
    <w:rsid w:val="006A23A0"/>
    <w:rsid w:val="006E7F8E"/>
    <w:rsid w:val="006F5F06"/>
    <w:rsid w:val="007006BD"/>
    <w:rsid w:val="00715958"/>
    <w:rsid w:val="007324BF"/>
    <w:rsid w:val="007F4A50"/>
    <w:rsid w:val="00836D3A"/>
    <w:rsid w:val="0088777D"/>
    <w:rsid w:val="008A1C72"/>
    <w:rsid w:val="008C3941"/>
    <w:rsid w:val="008D5BE0"/>
    <w:rsid w:val="009165EF"/>
    <w:rsid w:val="00937456"/>
    <w:rsid w:val="009D260F"/>
    <w:rsid w:val="009E331A"/>
    <w:rsid w:val="00A11C7A"/>
    <w:rsid w:val="00A33E7E"/>
    <w:rsid w:val="00AB7543"/>
    <w:rsid w:val="00B9760F"/>
    <w:rsid w:val="00BC28EA"/>
    <w:rsid w:val="00BC4546"/>
    <w:rsid w:val="00BE7E43"/>
    <w:rsid w:val="00C87E65"/>
    <w:rsid w:val="00CC08D5"/>
    <w:rsid w:val="00D254E5"/>
    <w:rsid w:val="00D36392"/>
    <w:rsid w:val="00D61617"/>
    <w:rsid w:val="00DA0099"/>
    <w:rsid w:val="00DA2359"/>
    <w:rsid w:val="00DD3CD9"/>
    <w:rsid w:val="00DE2D4E"/>
    <w:rsid w:val="00E332DB"/>
    <w:rsid w:val="00E710AB"/>
    <w:rsid w:val="00F33482"/>
    <w:rsid w:val="00F6032C"/>
    <w:rsid w:val="00F739E4"/>
    <w:rsid w:val="00F808BB"/>
    <w:rsid w:val="00FD18CC"/>
    <w:rsid w:val="00FD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C0BC16"/>
  <w15:chartTrackingRefBased/>
  <w15:docId w15:val="{F3D9D5FE-C4F8-42C0-9E1C-8B360634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6D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6D3A"/>
    <w:rPr>
      <w:rFonts w:ascii="Segoe UI" w:hAnsi="Segoe UI" w:cs="Segoe UI"/>
      <w:sz w:val="18"/>
      <w:szCs w:val="18"/>
    </w:rPr>
  </w:style>
  <w:style w:type="paragraph" w:styleId="En-tte">
    <w:name w:val="header"/>
    <w:basedOn w:val="Normal"/>
    <w:link w:val="En-tteCar"/>
    <w:uiPriority w:val="99"/>
    <w:unhideWhenUsed/>
    <w:rsid w:val="00D36392"/>
    <w:pPr>
      <w:tabs>
        <w:tab w:val="center" w:pos="4680"/>
        <w:tab w:val="right" w:pos="9360"/>
      </w:tabs>
      <w:spacing w:after="0" w:line="240" w:lineRule="auto"/>
    </w:pPr>
  </w:style>
  <w:style w:type="character" w:customStyle="1" w:styleId="En-tteCar">
    <w:name w:val="En-tête Car"/>
    <w:basedOn w:val="Policepardfaut"/>
    <w:link w:val="En-tte"/>
    <w:uiPriority w:val="99"/>
    <w:rsid w:val="00D36392"/>
  </w:style>
  <w:style w:type="paragraph" w:styleId="Pieddepage">
    <w:name w:val="footer"/>
    <w:basedOn w:val="Normal"/>
    <w:link w:val="PieddepageCar"/>
    <w:uiPriority w:val="99"/>
    <w:unhideWhenUsed/>
    <w:rsid w:val="00D3639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36392"/>
  </w:style>
  <w:style w:type="character" w:styleId="Marquedecommentaire">
    <w:name w:val="annotation reference"/>
    <w:basedOn w:val="Policepardfaut"/>
    <w:uiPriority w:val="99"/>
    <w:semiHidden/>
    <w:unhideWhenUsed/>
    <w:rsid w:val="00DA0099"/>
    <w:rPr>
      <w:sz w:val="16"/>
      <w:szCs w:val="16"/>
    </w:rPr>
  </w:style>
  <w:style w:type="paragraph" w:styleId="Commentaire">
    <w:name w:val="annotation text"/>
    <w:basedOn w:val="Normal"/>
    <w:link w:val="CommentaireCar"/>
    <w:uiPriority w:val="99"/>
    <w:semiHidden/>
    <w:unhideWhenUsed/>
    <w:rsid w:val="00DA0099"/>
    <w:pPr>
      <w:spacing w:line="240" w:lineRule="auto"/>
    </w:pPr>
    <w:rPr>
      <w:sz w:val="20"/>
      <w:szCs w:val="20"/>
    </w:rPr>
  </w:style>
  <w:style w:type="character" w:customStyle="1" w:styleId="CommentaireCar">
    <w:name w:val="Commentaire Car"/>
    <w:basedOn w:val="Policepardfaut"/>
    <w:link w:val="Commentaire"/>
    <w:uiPriority w:val="99"/>
    <w:semiHidden/>
    <w:rsid w:val="00DA0099"/>
    <w:rPr>
      <w:sz w:val="20"/>
      <w:szCs w:val="20"/>
    </w:rPr>
  </w:style>
  <w:style w:type="paragraph" w:styleId="Objetducommentaire">
    <w:name w:val="annotation subject"/>
    <w:basedOn w:val="Commentaire"/>
    <w:next w:val="Commentaire"/>
    <w:link w:val="ObjetducommentaireCar"/>
    <w:uiPriority w:val="99"/>
    <w:semiHidden/>
    <w:unhideWhenUsed/>
    <w:rsid w:val="00DA0099"/>
    <w:rPr>
      <w:b/>
      <w:bCs/>
    </w:rPr>
  </w:style>
  <w:style w:type="character" w:customStyle="1" w:styleId="ObjetducommentaireCar">
    <w:name w:val="Objet du commentaire Car"/>
    <w:basedOn w:val="CommentaireCar"/>
    <w:link w:val="Objetducommentaire"/>
    <w:uiPriority w:val="99"/>
    <w:semiHidden/>
    <w:rsid w:val="00DA0099"/>
    <w:rPr>
      <w:b/>
      <w:bCs/>
      <w:sz w:val="20"/>
      <w:szCs w:val="20"/>
    </w:rPr>
  </w:style>
  <w:style w:type="character" w:customStyle="1" w:styleId="carseparateur">
    <w:name w:val="carseparateur"/>
    <w:basedOn w:val="Policepardfaut"/>
    <w:rsid w:val="00F80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395</Words>
  <Characters>2255</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Chapman</dc:creator>
  <cp:keywords/>
  <dc:description/>
  <cp:lastModifiedBy>Caroline Landreville</cp:lastModifiedBy>
  <cp:revision>6</cp:revision>
  <cp:lastPrinted>2018-03-26T20:14:00Z</cp:lastPrinted>
  <dcterms:created xsi:type="dcterms:W3CDTF">2022-02-09T13:07:00Z</dcterms:created>
  <dcterms:modified xsi:type="dcterms:W3CDTF">2022-02-09T18:26:00Z</dcterms:modified>
</cp:coreProperties>
</file>